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0B2FB" w14:textId="04F332DB" w:rsidR="00AD5CF4" w:rsidRPr="005E0F16" w:rsidRDefault="00AD5CF4" w:rsidP="005E0F16">
      <w:pPr>
        <w:spacing w:line="480" w:lineRule="auto"/>
        <w:ind w:firstLine="720"/>
        <w:jc w:val="center"/>
        <w:rPr>
          <w:rFonts w:ascii="Times New Roman" w:hAnsi="Times New Roman" w:cs="Times New Roman"/>
          <w:sz w:val="24"/>
          <w:szCs w:val="24"/>
        </w:rPr>
      </w:pPr>
    </w:p>
    <w:p w14:paraId="00F29E7B" w14:textId="76B67A85" w:rsidR="00AD5CF4" w:rsidRPr="005E0F16" w:rsidRDefault="00AD5CF4" w:rsidP="005E0F16">
      <w:pPr>
        <w:spacing w:line="480" w:lineRule="auto"/>
        <w:ind w:firstLine="720"/>
        <w:jc w:val="center"/>
        <w:rPr>
          <w:rFonts w:ascii="Times New Roman" w:hAnsi="Times New Roman" w:cs="Times New Roman"/>
          <w:sz w:val="24"/>
          <w:szCs w:val="24"/>
        </w:rPr>
      </w:pPr>
    </w:p>
    <w:p w14:paraId="5187361B" w14:textId="4B337D81" w:rsidR="00AD5CF4" w:rsidRPr="005E0F16" w:rsidRDefault="00AD5CF4" w:rsidP="005E0F16">
      <w:pPr>
        <w:spacing w:line="480" w:lineRule="auto"/>
        <w:ind w:firstLine="720"/>
        <w:jc w:val="center"/>
        <w:rPr>
          <w:rFonts w:ascii="Times New Roman" w:hAnsi="Times New Roman" w:cs="Times New Roman"/>
          <w:sz w:val="24"/>
          <w:szCs w:val="24"/>
        </w:rPr>
      </w:pPr>
    </w:p>
    <w:p w14:paraId="11629396" w14:textId="0DC48D2E" w:rsidR="00AD5CF4" w:rsidRPr="005E0F16" w:rsidRDefault="00AD5CF4" w:rsidP="005E0F16">
      <w:pPr>
        <w:spacing w:line="480" w:lineRule="auto"/>
        <w:ind w:firstLine="720"/>
        <w:jc w:val="center"/>
        <w:rPr>
          <w:rFonts w:ascii="Times New Roman" w:hAnsi="Times New Roman" w:cs="Times New Roman"/>
          <w:sz w:val="24"/>
          <w:szCs w:val="24"/>
        </w:rPr>
      </w:pPr>
    </w:p>
    <w:p w14:paraId="4868CD37" w14:textId="779596F6" w:rsidR="00AD5CF4" w:rsidRPr="005E0F16" w:rsidRDefault="00AD5CF4" w:rsidP="005E0F16">
      <w:pPr>
        <w:spacing w:line="480" w:lineRule="auto"/>
        <w:ind w:firstLine="720"/>
        <w:jc w:val="center"/>
        <w:rPr>
          <w:rFonts w:ascii="Times New Roman" w:hAnsi="Times New Roman" w:cs="Times New Roman"/>
          <w:sz w:val="24"/>
          <w:szCs w:val="24"/>
        </w:rPr>
      </w:pPr>
    </w:p>
    <w:p w14:paraId="40CD4F5B" w14:textId="1F6A36CB" w:rsidR="00AD5CF4" w:rsidRPr="005E0F16" w:rsidRDefault="00AD5CF4" w:rsidP="005E0F16">
      <w:pPr>
        <w:spacing w:line="480" w:lineRule="auto"/>
        <w:ind w:firstLine="720"/>
        <w:jc w:val="center"/>
        <w:rPr>
          <w:rFonts w:ascii="Times New Roman" w:hAnsi="Times New Roman" w:cs="Times New Roman"/>
          <w:sz w:val="24"/>
          <w:szCs w:val="24"/>
        </w:rPr>
      </w:pPr>
    </w:p>
    <w:p w14:paraId="48C4D054" w14:textId="5A1151FF"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t>The Two Theories of Justice</w:t>
      </w:r>
    </w:p>
    <w:p w14:paraId="65839AB2" w14:textId="577E0686"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t>Student’s Name</w:t>
      </w:r>
    </w:p>
    <w:p w14:paraId="18CD2B22" w14:textId="52EB36B1"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t>Institution</w:t>
      </w:r>
    </w:p>
    <w:p w14:paraId="3209C1C9" w14:textId="0E51FB65"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t>Course</w:t>
      </w:r>
    </w:p>
    <w:p w14:paraId="64BC59FC" w14:textId="23442126"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t>Professor’s Name</w:t>
      </w:r>
    </w:p>
    <w:p w14:paraId="07B87431" w14:textId="728EE7AE"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t>Date</w:t>
      </w:r>
    </w:p>
    <w:p w14:paraId="147C4603" w14:textId="6F5AF678" w:rsidR="00AD5CF4" w:rsidRPr="005E0F16" w:rsidRDefault="00AD5CF4" w:rsidP="005E0F16">
      <w:pPr>
        <w:spacing w:line="480" w:lineRule="auto"/>
        <w:ind w:firstLine="720"/>
        <w:jc w:val="center"/>
        <w:rPr>
          <w:rFonts w:ascii="Times New Roman" w:hAnsi="Times New Roman" w:cs="Times New Roman"/>
          <w:sz w:val="24"/>
          <w:szCs w:val="24"/>
        </w:rPr>
      </w:pPr>
    </w:p>
    <w:p w14:paraId="0FAE47F7" w14:textId="2C0B97A3" w:rsidR="00AD5CF4" w:rsidRPr="005E0F16" w:rsidRDefault="00AD5CF4" w:rsidP="005E0F16">
      <w:pPr>
        <w:spacing w:line="480" w:lineRule="auto"/>
        <w:ind w:firstLine="720"/>
        <w:jc w:val="center"/>
        <w:rPr>
          <w:rFonts w:ascii="Times New Roman" w:hAnsi="Times New Roman" w:cs="Times New Roman"/>
          <w:sz w:val="24"/>
          <w:szCs w:val="24"/>
        </w:rPr>
      </w:pPr>
    </w:p>
    <w:p w14:paraId="53C517F0" w14:textId="4B343637" w:rsidR="00AD5CF4" w:rsidRPr="005E0F16" w:rsidRDefault="00AD5CF4" w:rsidP="005E0F16">
      <w:pPr>
        <w:spacing w:line="480" w:lineRule="auto"/>
        <w:ind w:firstLine="720"/>
        <w:jc w:val="center"/>
        <w:rPr>
          <w:rFonts w:ascii="Times New Roman" w:hAnsi="Times New Roman" w:cs="Times New Roman"/>
          <w:sz w:val="24"/>
          <w:szCs w:val="24"/>
        </w:rPr>
      </w:pPr>
    </w:p>
    <w:p w14:paraId="2D10C8A1" w14:textId="77ED8A7F" w:rsidR="00AD5CF4" w:rsidRPr="005E0F16" w:rsidRDefault="00AD5CF4" w:rsidP="005E0F16">
      <w:pPr>
        <w:spacing w:line="480" w:lineRule="auto"/>
        <w:ind w:firstLine="720"/>
        <w:jc w:val="center"/>
        <w:rPr>
          <w:rFonts w:ascii="Times New Roman" w:hAnsi="Times New Roman" w:cs="Times New Roman"/>
          <w:sz w:val="24"/>
          <w:szCs w:val="24"/>
        </w:rPr>
      </w:pPr>
    </w:p>
    <w:p w14:paraId="6EE72B50" w14:textId="35757B99" w:rsidR="00AD5CF4" w:rsidRPr="005E0F16" w:rsidRDefault="00AD5CF4" w:rsidP="005E0F16">
      <w:pPr>
        <w:spacing w:line="480" w:lineRule="auto"/>
        <w:ind w:firstLine="720"/>
        <w:jc w:val="center"/>
        <w:rPr>
          <w:rFonts w:ascii="Times New Roman" w:hAnsi="Times New Roman" w:cs="Times New Roman"/>
          <w:sz w:val="24"/>
          <w:szCs w:val="24"/>
        </w:rPr>
      </w:pPr>
    </w:p>
    <w:p w14:paraId="771366D5" w14:textId="3E5CF9CE" w:rsidR="00AD5CF4" w:rsidRPr="005E0F16" w:rsidRDefault="00AD5CF4" w:rsidP="005E0F16">
      <w:pPr>
        <w:spacing w:line="480" w:lineRule="auto"/>
        <w:ind w:firstLine="720"/>
        <w:jc w:val="center"/>
        <w:rPr>
          <w:rFonts w:ascii="Times New Roman" w:hAnsi="Times New Roman" w:cs="Times New Roman"/>
          <w:sz w:val="24"/>
          <w:szCs w:val="24"/>
        </w:rPr>
      </w:pPr>
    </w:p>
    <w:p w14:paraId="02422ADC" w14:textId="77777777" w:rsidR="00AD5CF4"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lastRenderedPageBreak/>
        <w:t>The Two Theories of Justice</w:t>
      </w:r>
    </w:p>
    <w:p w14:paraId="0FE83A91" w14:textId="721918CD" w:rsidR="00AD5CF4" w:rsidRPr="005E0F16" w:rsidRDefault="00B41BAE" w:rsidP="005E0F16">
      <w:pPr>
        <w:spacing w:line="480" w:lineRule="auto"/>
        <w:ind w:firstLine="720"/>
        <w:jc w:val="center"/>
        <w:rPr>
          <w:rFonts w:ascii="Times New Roman" w:hAnsi="Times New Roman" w:cs="Times New Roman"/>
          <w:b/>
          <w:bCs/>
          <w:sz w:val="24"/>
          <w:szCs w:val="24"/>
        </w:rPr>
      </w:pPr>
      <w:r w:rsidRPr="005E0F16">
        <w:rPr>
          <w:rFonts w:ascii="Times New Roman" w:hAnsi="Times New Roman" w:cs="Times New Roman"/>
          <w:b/>
          <w:bCs/>
          <w:sz w:val="24"/>
          <w:szCs w:val="24"/>
        </w:rPr>
        <w:t>Retributive Justice</w:t>
      </w:r>
    </w:p>
    <w:p w14:paraId="47D9521B" w14:textId="7D07C459" w:rsidR="00AD5CF4" w:rsidRPr="005E0F16" w:rsidRDefault="00B41BAE" w:rsidP="005E0F16">
      <w:pPr>
        <w:spacing w:line="480" w:lineRule="auto"/>
        <w:ind w:firstLine="720"/>
        <w:rPr>
          <w:rFonts w:ascii="Times New Roman" w:hAnsi="Times New Roman" w:cs="Times New Roman"/>
          <w:sz w:val="24"/>
          <w:szCs w:val="24"/>
        </w:rPr>
      </w:pPr>
      <w:r w:rsidRPr="005E0F16">
        <w:rPr>
          <w:rFonts w:ascii="Times New Roman" w:hAnsi="Times New Roman" w:cs="Times New Roman"/>
          <w:sz w:val="24"/>
          <w:szCs w:val="24"/>
        </w:rPr>
        <w:t xml:space="preserve">According to </w:t>
      </w:r>
      <w:r w:rsidRPr="005E0F16">
        <w:rPr>
          <w:rFonts w:ascii="Times New Roman" w:hAnsi="Times New Roman" w:cs="Times New Roman"/>
          <w:color w:val="222222"/>
          <w:sz w:val="24"/>
          <w:szCs w:val="24"/>
          <w:shd w:val="clear" w:color="auto" w:fill="FFFFFF"/>
        </w:rPr>
        <w:t>Pedersen</w:t>
      </w:r>
      <w:r w:rsidRPr="005E0F16">
        <w:rPr>
          <w:rFonts w:ascii="Times New Roman" w:hAnsi="Times New Roman" w:cs="Times New Roman"/>
          <w:sz w:val="24"/>
          <w:szCs w:val="24"/>
        </w:rPr>
        <w:t xml:space="preserve"> (2019), t</w:t>
      </w:r>
      <w:r w:rsidRPr="005E0F16">
        <w:rPr>
          <w:rFonts w:ascii="Times New Roman" w:hAnsi="Times New Roman" w:cs="Times New Roman"/>
          <w:sz w:val="24"/>
          <w:szCs w:val="24"/>
        </w:rPr>
        <w:t>he retribution theory suggests that justice entails putting a lawbreaker through punitive activities to indicate that justice is served. According to this theory, the level of punishment an offender receives is proportionate to the crime committed. However</w:t>
      </w:r>
      <w:r w:rsidRPr="005E0F16">
        <w:rPr>
          <w:rFonts w:ascii="Times New Roman" w:hAnsi="Times New Roman" w:cs="Times New Roman"/>
          <w:sz w:val="24"/>
          <w:szCs w:val="24"/>
        </w:rPr>
        <w:t>, this form of justice differs from revenge since it is not personal, just dictated by the law. In addition, the individuals responsible for conducting retributive justice take no pleasure in the suffering of the convicted persons. This form of justice fou</w:t>
      </w:r>
      <w:r w:rsidRPr="005E0F16">
        <w:rPr>
          <w:rFonts w:ascii="Times New Roman" w:hAnsi="Times New Roman" w:cs="Times New Roman"/>
          <w:sz w:val="24"/>
          <w:szCs w:val="24"/>
        </w:rPr>
        <w:t xml:space="preserve">nd in most global cultures and </w:t>
      </w:r>
      <w:r w:rsidR="008C17CD" w:rsidRPr="005E0F16">
        <w:rPr>
          <w:rFonts w:ascii="Times New Roman" w:hAnsi="Times New Roman" w:cs="Times New Roman"/>
          <w:sz w:val="24"/>
          <w:szCs w:val="24"/>
        </w:rPr>
        <w:t>ancient</w:t>
      </w:r>
      <w:r w:rsidRPr="005E0F16">
        <w:rPr>
          <w:rFonts w:ascii="Times New Roman" w:hAnsi="Times New Roman" w:cs="Times New Roman"/>
          <w:sz w:val="24"/>
          <w:szCs w:val="24"/>
        </w:rPr>
        <w:t xml:space="preserve"> texts differs from punishment objectives of rehabilitation and </w:t>
      </w:r>
      <w:r w:rsidR="008C17CD" w:rsidRPr="005E0F16">
        <w:rPr>
          <w:rFonts w:ascii="Times New Roman" w:hAnsi="Times New Roman" w:cs="Times New Roman"/>
          <w:sz w:val="24"/>
          <w:szCs w:val="24"/>
        </w:rPr>
        <w:t>deterrence, which help prevent a repetition of the crime.</w:t>
      </w:r>
    </w:p>
    <w:p w14:paraId="5DEA5A78" w14:textId="15D8A52E" w:rsidR="008C17CD" w:rsidRPr="005E0F16" w:rsidRDefault="00B41BAE" w:rsidP="005E0F16">
      <w:pPr>
        <w:spacing w:line="480" w:lineRule="auto"/>
        <w:ind w:firstLine="720"/>
        <w:jc w:val="center"/>
        <w:rPr>
          <w:rFonts w:ascii="Times New Roman" w:hAnsi="Times New Roman" w:cs="Times New Roman"/>
          <w:b/>
          <w:bCs/>
          <w:sz w:val="24"/>
          <w:szCs w:val="24"/>
        </w:rPr>
      </w:pPr>
      <w:r w:rsidRPr="005E0F16">
        <w:rPr>
          <w:rFonts w:ascii="Times New Roman" w:hAnsi="Times New Roman" w:cs="Times New Roman"/>
          <w:b/>
          <w:bCs/>
          <w:sz w:val="24"/>
          <w:szCs w:val="24"/>
        </w:rPr>
        <w:t>Restorative Justice</w:t>
      </w:r>
    </w:p>
    <w:p w14:paraId="33458A9D" w14:textId="1553AB49" w:rsidR="008C17CD" w:rsidRPr="005E0F16" w:rsidRDefault="00B41BAE" w:rsidP="005E0F16">
      <w:pPr>
        <w:spacing w:line="480" w:lineRule="auto"/>
        <w:ind w:firstLine="720"/>
        <w:rPr>
          <w:rFonts w:ascii="Times New Roman" w:hAnsi="Times New Roman" w:cs="Times New Roman"/>
          <w:sz w:val="24"/>
          <w:szCs w:val="24"/>
        </w:rPr>
      </w:pPr>
      <w:r w:rsidRPr="005E0F16">
        <w:rPr>
          <w:rFonts w:ascii="Times New Roman" w:hAnsi="Times New Roman" w:cs="Times New Roman"/>
          <w:sz w:val="24"/>
          <w:szCs w:val="24"/>
        </w:rPr>
        <w:t>This theory provides a broader view of crime compared to the retribution the</w:t>
      </w:r>
      <w:r w:rsidRPr="005E0F16">
        <w:rPr>
          <w:rFonts w:ascii="Times New Roman" w:hAnsi="Times New Roman" w:cs="Times New Roman"/>
          <w:sz w:val="24"/>
          <w:szCs w:val="24"/>
        </w:rPr>
        <w:t>ory. It argues that crime leads to harming people, relationships, and society in addition to being an act of breaking the law</w:t>
      </w:r>
      <w:r w:rsidR="005E0F16" w:rsidRPr="005E0F16">
        <w:rPr>
          <w:rFonts w:ascii="Times New Roman" w:hAnsi="Times New Roman" w:cs="Times New Roman"/>
          <w:sz w:val="24"/>
          <w:szCs w:val="24"/>
        </w:rPr>
        <w:t xml:space="preserve"> (</w:t>
      </w:r>
      <w:r w:rsidR="005E0F16" w:rsidRPr="005E0F16">
        <w:rPr>
          <w:rFonts w:ascii="Times New Roman" w:hAnsi="Times New Roman" w:cs="Times New Roman"/>
          <w:color w:val="222222"/>
          <w:sz w:val="24"/>
          <w:szCs w:val="24"/>
          <w:shd w:val="clear" w:color="auto" w:fill="FFFFFF"/>
        </w:rPr>
        <w:t>Suzuki &amp; Jenkins, 2020)</w:t>
      </w:r>
      <w:r w:rsidRPr="005E0F16">
        <w:rPr>
          <w:rFonts w:ascii="Times New Roman" w:hAnsi="Times New Roman" w:cs="Times New Roman"/>
          <w:sz w:val="24"/>
          <w:szCs w:val="24"/>
        </w:rPr>
        <w:t>. Therefore, for justice to be served, the justice system must simultaneously address the harms caused and</w:t>
      </w:r>
      <w:r w:rsidRPr="005E0F16">
        <w:rPr>
          <w:rFonts w:ascii="Times New Roman" w:hAnsi="Times New Roman" w:cs="Times New Roman"/>
          <w:sz w:val="24"/>
          <w:szCs w:val="24"/>
        </w:rPr>
        <w:t xml:space="preserve"> the wrongdoing. When the offender and the offended are willing to settle the matter amicably, the law provides for that since an agreement met between the two affected sides would serve the best resolutions. The law provides for other avenues to pursue if</w:t>
      </w:r>
      <w:r w:rsidRPr="005E0F16">
        <w:rPr>
          <w:rFonts w:ascii="Times New Roman" w:hAnsi="Times New Roman" w:cs="Times New Roman"/>
          <w:sz w:val="24"/>
          <w:szCs w:val="24"/>
        </w:rPr>
        <w:t xml:space="preserve"> the offended does not believe that meeting with the lawbreaker would serve as proper justice.</w:t>
      </w:r>
    </w:p>
    <w:p w14:paraId="38736192" w14:textId="2D70B651" w:rsidR="005E0F16" w:rsidRPr="005E0F16" w:rsidRDefault="00B41BAE" w:rsidP="005E0F16">
      <w:pPr>
        <w:spacing w:line="480" w:lineRule="auto"/>
        <w:ind w:firstLine="720"/>
        <w:rPr>
          <w:rFonts w:ascii="Times New Roman" w:hAnsi="Times New Roman" w:cs="Times New Roman"/>
          <w:sz w:val="24"/>
          <w:szCs w:val="24"/>
        </w:rPr>
      </w:pPr>
      <w:r w:rsidRPr="005E0F16">
        <w:rPr>
          <w:rFonts w:ascii="Times New Roman" w:hAnsi="Times New Roman" w:cs="Times New Roman"/>
          <w:sz w:val="24"/>
          <w:szCs w:val="24"/>
        </w:rPr>
        <w:t xml:space="preserve">After carefully looking into the two theories, I would consider the restorative justice theory. The various reasons for this include the transformational nature </w:t>
      </w:r>
      <w:r w:rsidRPr="005E0F16">
        <w:rPr>
          <w:rFonts w:ascii="Times New Roman" w:hAnsi="Times New Roman" w:cs="Times New Roman"/>
          <w:sz w:val="24"/>
          <w:szCs w:val="24"/>
        </w:rPr>
        <w:t xml:space="preserve">of this theory and the nature of repair it serves. Here, dealing with a criminal offence using the restorative approach </w:t>
      </w:r>
      <w:r w:rsidRPr="005E0F16">
        <w:rPr>
          <w:rFonts w:ascii="Times New Roman" w:hAnsi="Times New Roman" w:cs="Times New Roman"/>
          <w:sz w:val="24"/>
          <w:szCs w:val="24"/>
        </w:rPr>
        <w:lastRenderedPageBreak/>
        <w:t>leaves the offender satisfied that what he did was wrong and that it would not be plausible to repeat such actions to others. This trans</w:t>
      </w:r>
      <w:r w:rsidRPr="005E0F16">
        <w:rPr>
          <w:rFonts w:ascii="Times New Roman" w:hAnsi="Times New Roman" w:cs="Times New Roman"/>
          <w:sz w:val="24"/>
          <w:szCs w:val="24"/>
        </w:rPr>
        <w:t>formative nature of restorative justice positively changes individuals, relationships and communities (</w:t>
      </w:r>
      <w:r w:rsidRPr="005E0F16">
        <w:rPr>
          <w:rFonts w:ascii="Times New Roman" w:hAnsi="Times New Roman" w:cs="Times New Roman"/>
          <w:color w:val="222222"/>
          <w:sz w:val="24"/>
          <w:szCs w:val="24"/>
          <w:shd w:val="clear" w:color="auto" w:fill="FFFFFF"/>
        </w:rPr>
        <w:t>Suzuki &amp; Jenkins, 2020)</w:t>
      </w:r>
      <w:r w:rsidRPr="005E0F16">
        <w:rPr>
          <w:rFonts w:ascii="Times New Roman" w:hAnsi="Times New Roman" w:cs="Times New Roman"/>
          <w:sz w:val="24"/>
          <w:szCs w:val="24"/>
        </w:rPr>
        <w:t xml:space="preserve">. Again, the approach seems to be geared towards repairing the damages that crime causes to the community, which would help </w:t>
      </w:r>
      <w:r w:rsidRPr="005E0F16">
        <w:rPr>
          <w:rFonts w:ascii="Times New Roman" w:hAnsi="Times New Roman" w:cs="Times New Roman"/>
          <w:sz w:val="24"/>
          <w:szCs w:val="24"/>
        </w:rPr>
        <w:t>nurture more conducive societal livelihoods.</w:t>
      </w:r>
    </w:p>
    <w:p w14:paraId="690CFC19" w14:textId="77777777" w:rsidR="005E0F16" w:rsidRPr="005E0F16" w:rsidRDefault="00B41BAE" w:rsidP="005E0F16">
      <w:pPr>
        <w:spacing w:line="480" w:lineRule="auto"/>
        <w:ind w:firstLine="720"/>
        <w:rPr>
          <w:rFonts w:ascii="Times New Roman" w:hAnsi="Times New Roman" w:cs="Times New Roman"/>
          <w:sz w:val="24"/>
          <w:szCs w:val="24"/>
        </w:rPr>
      </w:pPr>
      <w:r w:rsidRPr="005E0F16">
        <w:rPr>
          <w:rFonts w:ascii="Times New Roman" w:hAnsi="Times New Roman" w:cs="Times New Roman"/>
          <w:sz w:val="24"/>
          <w:szCs w:val="24"/>
        </w:rPr>
        <w:br w:type="page"/>
      </w:r>
    </w:p>
    <w:p w14:paraId="4D7D8A30" w14:textId="54C91AA0" w:rsidR="008C17CD" w:rsidRPr="005E0F16" w:rsidRDefault="00B41BAE" w:rsidP="005E0F16">
      <w:pPr>
        <w:spacing w:line="480" w:lineRule="auto"/>
        <w:ind w:firstLine="720"/>
        <w:jc w:val="center"/>
        <w:rPr>
          <w:rFonts w:ascii="Times New Roman" w:hAnsi="Times New Roman" w:cs="Times New Roman"/>
          <w:sz w:val="24"/>
          <w:szCs w:val="24"/>
        </w:rPr>
      </w:pPr>
      <w:r w:rsidRPr="005E0F16">
        <w:rPr>
          <w:rFonts w:ascii="Times New Roman" w:hAnsi="Times New Roman" w:cs="Times New Roman"/>
          <w:sz w:val="24"/>
          <w:szCs w:val="24"/>
        </w:rPr>
        <w:lastRenderedPageBreak/>
        <w:t>References</w:t>
      </w:r>
    </w:p>
    <w:p w14:paraId="063B5350" w14:textId="77777777" w:rsidR="005E0F16" w:rsidRPr="005E0F16" w:rsidRDefault="00B41BAE" w:rsidP="005E0F16">
      <w:pPr>
        <w:spacing w:line="480" w:lineRule="auto"/>
        <w:ind w:left="720" w:hanging="720"/>
        <w:rPr>
          <w:rFonts w:ascii="Times New Roman" w:hAnsi="Times New Roman" w:cs="Times New Roman"/>
          <w:color w:val="222222"/>
          <w:sz w:val="24"/>
          <w:szCs w:val="24"/>
          <w:shd w:val="clear" w:color="auto" w:fill="FFFFFF"/>
        </w:rPr>
      </w:pPr>
      <w:r w:rsidRPr="005E0F16">
        <w:rPr>
          <w:rFonts w:ascii="Times New Roman" w:hAnsi="Times New Roman" w:cs="Times New Roman"/>
          <w:color w:val="222222"/>
          <w:sz w:val="24"/>
          <w:szCs w:val="24"/>
          <w:shd w:val="clear" w:color="auto" w:fill="FFFFFF"/>
        </w:rPr>
        <w:t>Pedersen, M. B. (2019). The ICC, the Rohingya and the limitations of retributive justice. </w:t>
      </w:r>
      <w:r w:rsidRPr="005E0F16">
        <w:rPr>
          <w:rFonts w:ascii="Times New Roman" w:hAnsi="Times New Roman" w:cs="Times New Roman"/>
          <w:i/>
          <w:iCs/>
          <w:color w:val="222222"/>
          <w:sz w:val="24"/>
          <w:szCs w:val="24"/>
          <w:shd w:val="clear" w:color="auto" w:fill="FFFFFF"/>
        </w:rPr>
        <w:t>Australian Journal of International Affairs</w:t>
      </w:r>
      <w:r w:rsidRPr="005E0F16">
        <w:rPr>
          <w:rFonts w:ascii="Times New Roman" w:hAnsi="Times New Roman" w:cs="Times New Roman"/>
          <w:color w:val="222222"/>
          <w:sz w:val="24"/>
          <w:szCs w:val="24"/>
          <w:shd w:val="clear" w:color="auto" w:fill="FFFFFF"/>
        </w:rPr>
        <w:t>, </w:t>
      </w:r>
      <w:r w:rsidRPr="005E0F16">
        <w:rPr>
          <w:rFonts w:ascii="Times New Roman" w:hAnsi="Times New Roman" w:cs="Times New Roman"/>
          <w:i/>
          <w:iCs/>
          <w:color w:val="222222"/>
          <w:sz w:val="24"/>
          <w:szCs w:val="24"/>
          <w:shd w:val="clear" w:color="auto" w:fill="FFFFFF"/>
        </w:rPr>
        <w:t>73</w:t>
      </w:r>
      <w:r w:rsidRPr="005E0F16">
        <w:rPr>
          <w:rFonts w:ascii="Times New Roman" w:hAnsi="Times New Roman" w:cs="Times New Roman"/>
          <w:color w:val="222222"/>
          <w:sz w:val="24"/>
          <w:szCs w:val="24"/>
          <w:shd w:val="clear" w:color="auto" w:fill="FFFFFF"/>
        </w:rPr>
        <w:t>(1), 9-15.</w:t>
      </w:r>
    </w:p>
    <w:p w14:paraId="2CF7D1FF" w14:textId="77777777" w:rsidR="005E0F16" w:rsidRPr="005E0F16" w:rsidRDefault="00B41BAE" w:rsidP="005E0F16">
      <w:pPr>
        <w:spacing w:line="480" w:lineRule="auto"/>
        <w:ind w:left="720" w:hanging="720"/>
        <w:rPr>
          <w:rFonts w:ascii="Times New Roman" w:hAnsi="Times New Roman" w:cs="Times New Roman"/>
          <w:sz w:val="24"/>
          <w:szCs w:val="24"/>
        </w:rPr>
      </w:pPr>
      <w:r w:rsidRPr="005E0F16">
        <w:rPr>
          <w:rFonts w:ascii="Times New Roman" w:hAnsi="Times New Roman" w:cs="Times New Roman"/>
          <w:color w:val="222222"/>
          <w:sz w:val="24"/>
          <w:szCs w:val="24"/>
          <w:shd w:val="clear" w:color="auto" w:fill="FFFFFF"/>
        </w:rPr>
        <w:t xml:space="preserve">Suzuki, M., &amp; Jenkins, T. (2020). The role of </w:t>
      </w:r>
      <w:r w:rsidRPr="005E0F16">
        <w:rPr>
          <w:rFonts w:ascii="Times New Roman" w:hAnsi="Times New Roman" w:cs="Times New Roman"/>
          <w:color w:val="222222"/>
          <w:sz w:val="24"/>
          <w:szCs w:val="24"/>
          <w:shd w:val="clear" w:color="auto" w:fill="FFFFFF"/>
        </w:rPr>
        <w:t>(self-) forgiveness in restorative justice: Linking restorative justice to desistance. </w:t>
      </w:r>
      <w:r w:rsidRPr="005E0F16">
        <w:rPr>
          <w:rFonts w:ascii="Times New Roman" w:hAnsi="Times New Roman" w:cs="Times New Roman"/>
          <w:i/>
          <w:iCs/>
          <w:color w:val="222222"/>
          <w:sz w:val="24"/>
          <w:szCs w:val="24"/>
          <w:shd w:val="clear" w:color="auto" w:fill="FFFFFF"/>
        </w:rPr>
        <w:t>European Journal of Criminology</w:t>
      </w:r>
      <w:r w:rsidRPr="005E0F16">
        <w:rPr>
          <w:rFonts w:ascii="Times New Roman" w:hAnsi="Times New Roman" w:cs="Times New Roman"/>
          <w:color w:val="222222"/>
          <w:sz w:val="24"/>
          <w:szCs w:val="24"/>
          <w:shd w:val="clear" w:color="auto" w:fill="FFFFFF"/>
        </w:rPr>
        <w:t>.</w:t>
      </w:r>
    </w:p>
    <w:sectPr w:rsidR="005E0F16" w:rsidRPr="005E0F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6A82E" w14:textId="77777777" w:rsidR="00B41BAE" w:rsidRDefault="00B41BAE">
      <w:pPr>
        <w:spacing w:after="0" w:line="240" w:lineRule="auto"/>
      </w:pPr>
      <w:r>
        <w:separator/>
      </w:r>
    </w:p>
  </w:endnote>
  <w:endnote w:type="continuationSeparator" w:id="0">
    <w:p w14:paraId="12CA16DE" w14:textId="77777777" w:rsidR="00B41BAE" w:rsidRDefault="00B4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83889" w14:textId="77777777" w:rsidR="00B41BAE" w:rsidRDefault="00B41BAE">
      <w:pPr>
        <w:spacing w:after="0" w:line="240" w:lineRule="auto"/>
      </w:pPr>
      <w:r>
        <w:separator/>
      </w:r>
    </w:p>
  </w:footnote>
  <w:footnote w:type="continuationSeparator" w:id="0">
    <w:p w14:paraId="7CA61C9F" w14:textId="77777777" w:rsidR="00B41BAE" w:rsidRDefault="00B41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373223"/>
      <w:docPartObj>
        <w:docPartGallery w:val="Page Numbers (Top of Page)"/>
        <w:docPartUnique/>
      </w:docPartObj>
    </w:sdtPr>
    <w:sdtEndPr>
      <w:rPr>
        <w:rFonts w:ascii="Times New Roman" w:hAnsi="Times New Roman" w:cs="Times New Roman"/>
        <w:noProof/>
        <w:sz w:val="24"/>
        <w:szCs w:val="24"/>
      </w:rPr>
    </w:sdtEndPr>
    <w:sdtContent>
      <w:p w14:paraId="0D21F5F9" w14:textId="14E23BCD" w:rsidR="00AD5CF4" w:rsidRPr="00AD5CF4" w:rsidRDefault="00B41BAE">
        <w:pPr>
          <w:pStyle w:val="Header"/>
          <w:jc w:val="right"/>
          <w:rPr>
            <w:rFonts w:ascii="Times New Roman" w:hAnsi="Times New Roman" w:cs="Times New Roman"/>
            <w:sz w:val="24"/>
            <w:szCs w:val="24"/>
          </w:rPr>
        </w:pPr>
        <w:r w:rsidRPr="00AD5CF4">
          <w:rPr>
            <w:rFonts w:ascii="Times New Roman" w:hAnsi="Times New Roman" w:cs="Times New Roman"/>
            <w:sz w:val="24"/>
            <w:szCs w:val="24"/>
          </w:rPr>
          <w:fldChar w:fldCharType="begin"/>
        </w:r>
        <w:r w:rsidRPr="00AD5CF4">
          <w:rPr>
            <w:rFonts w:ascii="Times New Roman" w:hAnsi="Times New Roman" w:cs="Times New Roman"/>
            <w:sz w:val="24"/>
            <w:szCs w:val="24"/>
          </w:rPr>
          <w:instrText xml:space="preserve"> PAGE   \* MERGEFORMAT </w:instrText>
        </w:r>
        <w:r w:rsidRPr="00AD5CF4">
          <w:rPr>
            <w:rFonts w:ascii="Times New Roman" w:hAnsi="Times New Roman" w:cs="Times New Roman"/>
            <w:sz w:val="24"/>
            <w:szCs w:val="24"/>
          </w:rPr>
          <w:fldChar w:fldCharType="separate"/>
        </w:r>
        <w:r w:rsidRPr="00AD5CF4">
          <w:rPr>
            <w:rFonts w:ascii="Times New Roman" w:hAnsi="Times New Roman" w:cs="Times New Roman"/>
            <w:noProof/>
            <w:sz w:val="24"/>
            <w:szCs w:val="24"/>
          </w:rPr>
          <w:t>2</w:t>
        </w:r>
        <w:r w:rsidRPr="00AD5CF4">
          <w:rPr>
            <w:rFonts w:ascii="Times New Roman" w:hAnsi="Times New Roman" w:cs="Times New Roman"/>
            <w:noProof/>
            <w:sz w:val="24"/>
            <w:szCs w:val="24"/>
          </w:rPr>
          <w:fldChar w:fldCharType="end"/>
        </w:r>
      </w:p>
    </w:sdtContent>
  </w:sdt>
  <w:p w14:paraId="5314E90A" w14:textId="77777777" w:rsidR="00AD5CF4" w:rsidRDefault="00AD5CF4">
    <w:pPr>
      <w:pStyle w:val="Header"/>
    </w:pPr>
  </w:p>
  <w:p w14:paraId="4DFE6A95" w14:textId="77777777" w:rsidR="00AD5CF4" w:rsidRDefault="00AD5CF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CF4"/>
    <w:rsid w:val="003B20C5"/>
    <w:rsid w:val="00544DD9"/>
    <w:rsid w:val="005E0F16"/>
    <w:rsid w:val="008C17CD"/>
    <w:rsid w:val="00AD5CF4"/>
    <w:rsid w:val="00B41BAE"/>
    <w:rsid w:val="00BD7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584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C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CF4"/>
  </w:style>
  <w:style w:type="paragraph" w:styleId="Footer">
    <w:name w:val="footer"/>
    <w:basedOn w:val="Normal"/>
    <w:link w:val="FooterChar"/>
    <w:uiPriority w:val="99"/>
    <w:unhideWhenUsed/>
    <w:rsid w:val="00AD5C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2021-10-02T23:39:00Z</dcterms:created>
  <dcterms:modified xsi:type="dcterms:W3CDTF">2021-10-02T23:43:00Z</dcterms:modified>
</cp:coreProperties>
</file>